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КИРИМ КАССА ОРДЕРИ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ПРИХОДНЫЙ КАССОВЫЙ ОРДЕР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Касса/бўлинма / Касса/подразделение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қилинди (кимдан) / Принято от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СТИР/паспорт-ID / ИНН/паспорт-ID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Касса ҳужжатида тузатишга йўл қўйилмайди. Иловаларга «Олинди» белгиси ва сана қўйилади / Исправления не допускаются. На приложениях ставятся отметка «Получено» и дата.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Кирим операцияси / Приходная операция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 / Основание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рақамда / Сумма цифрами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ёзувда / Сумма прописью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(агар татбиқ этилса) / НДС (если применимо)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Дебет счёти / Счёт дебета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Кредит счёти / Счёт кредита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Иловалар ва варақлар сони / Приложения и количество листов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Квитанция қисми / Квитанция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ККО рақами ва санаси / Номер и дата ПКО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Кимдан қабул қилинди / Принято от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 ва сумма / Основание и сумма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Олинди белгиси ва сана / Отметка «Получено» и дата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бухгалтер/ваколатли шахс / Главный бухгалтер/уполномоченное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 / Кассир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Топширувчи / Сдатчик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Кирим касса ордери / Приходный кассовый ордер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