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ЧИҚИМ КАССА ОРДЕРИ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РАСХОДНЫЙ КАССОВЫЙ ОРДЕР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Касса/бўлинма / Касса/подразделение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Берилди (кимга) / Выдать кому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Паспорт/ID: серия, №, ким ва қачон берган / Паспорт/ID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6292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Касса ҳужжатида тузатишга йўл қўйилмайди. Иловаларга «Тўланди» белгиси ва сана қўйилади / Исправления не допускаются. На приложениях ставятся отметка «Оплачено» и дата.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Чиқим операцияси / Расходная операция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Асос / Основание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Сумма рақамда / Сумма цифрами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Сумма ёзувда / Сумма прописью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Дебет счёти / Счёт дебета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Кредит счёти / Счёт кредита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Иловалар ва варақлар сони / Приложения и количество листов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Тўланди белгиси ва сана / Отметка «Оплачено» и дата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Олувчининг тилхати / Расписка получателя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Суммани тўлиқ олдим / Сумму получил полностью: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Олувчининг Ф.И.Ш., сана ва имзоси / Ф.И.О., дата и подпись получателя: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Раҳбар/ваколатли шахс / Руководитель/уполномоченное лицо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Кассир / Кассир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Олувчи / Получатель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040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Чиқим касса ордери / Расходный кассовый ордер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